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6D60" w14:textId="79D6C4A0" w:rsidR="00CF6927" w:rsidRDefault="005F28A8">
      <w:pPr>
        <w:rPr>
          <w:b/>
          <w:bCs/>
          <w:sz w:val="28"/>
          <w:szCs w:val="28"/>
        </w:rPr>
      </w:pPr>
      <w:r>
        <w:rPr>
          <w:b/>
          <w:bCs/>
          <w:sz w:val="28"/>
          <w:szCs w:val="28"/>
        </w:rPr>
        <w:t>16.11.2022</w:t>
      </w:r>
    </w:p>
    <w:p w14:paraId="3F422CE7" w14:textId="68C180A4" w:rsidR="005F28A8" w:rsidRDefault="005F28A8">
      <w:pPr>
        <w:rPr>
          <w:b/>
          <w:bCs/>
          <w:sz w:val="28"/>
          <w:szCs w:val="28"/>
        </w:rPr>
      </w:pPr>
    </w:p>
    <w:p w14:paraId="627114E7" w14:textId="2D861200" w:rsidR="005F28A8" w:rsidRDefault="005F28A8">
      <w:pPr>
        <w:rPr>
          <w:b/>
          <w:bCs/>
          <w:sz w:val="36"/>
          <w:szCs w:val="36"/>
        </w:rPr>
      </w:pPr>
      <w:r w:rsidRPr="005F28A8">
        <w:rPr>
          <w:b/>
          <w:bCs/>
          <w:sz w:val="36"/>
          <w:szCs w:val="36"/>
        </w:rPr>
        <w:t>Diário Oficial da União</w:t>
      </w:r>
    </w:p>
    <w:p w14:paraId="07E0769A" w14:textId="4932A2B9" w:rsidR="005F28A8" w:rsidRDefault="005F28A8">
      <w:pPr>
        <w:rPr>
          <w:b/>
          <w:bCs/>
          <w:sz w:val="28"/>
          <w:szCs w:val="28"/>
        </w:rPr>
      </w:pPr>
    </w:p>
    <w:p w14:paraId="36997690" w14:textId="4971B3F5" w:rsidR="005F28A8" w:rsidRDefault="005F28A8">
      <w:pPr>
        <w:rPr>
          <w:b/>
          <w:bCs/>
          <w:sz w:val="28"/>
          <w:szCs w:val="28"/>
        </w:rPr>
      </w:pPr>
      <w:r>
        <w:rPr>
          <w:b/>
          <w:bCs/>
          <w:sz w:val="28"/>
          <w:szCs w:val="28"/>
        </w:rPr>
        <w:t>MINISTÉRIO DA SAÚDE</w:t>
      </w:r>
    </w:p>
    <w:p w14:paraId="238382AD" w14:textId="77777777" w:rsidR="005F28A8" w:rsidRPr="005F28A8" w:rsidRDefault="005F28A8" w:rsidP="005F28A8">
      <w:pPr>
        <w:pStyle w:val="identifica"/>
        <w:shd w:val="clear" w:color="auto" w:fill="FFFFFF"/>
        <w:spacing w:before="450" w:beforeAutospacing="0" w:after="450" w:afterAutospacing="0"/>
        <w:rPr>
          <w:rFonts w:asciiTheme="minorHAnsi" w:hAnsiTheme="minorHAnsi" w:cstheme="minorHAnsi"/>
          <w:b/>
          <w:bCs/>
          <w:caps/>
          <w:sz w:val="22"/>
          <w:szCs w:val="22"/>
        </w:rPr>
      </w:pPr>
      <w:r w:rsidRPr="005F28A8">
        <w:rPr>
          <w:rFonts w:asciiTheme="minorHAnsi" w:hAnsiTheme="minorHAnsi" w:cstheme="minorHAnsi"/>
          <w:b/>
          <w:bCs/>
          <w:caps/>
          <w:sz w:val="22"/>
          <w:szCs w:val="22"/>
        </w:rPr>
        <w:t>PORTARIA CONJUNTA N° 2, DE 11 DE NOVEMBRO DE 2022</w:t>
      </w:r>
    </w:p>
    <w:p w14:paraId="0738DA41" w14:textId="77777777" w:rsidR="005F28A8" w:rsidRPr="005F28A8" w:rsidRDefault="005F28A8" w:rsidP="005F28A8">
      <w:pPr>
        <w:pStyle w:val="ementa"/>
        <w:shd w:val="clear" w:color="auto" w:fill="FFFFFF"/>
        <w:spacing w:before="0" w:beforeAutospacing="0" w:after="450" w:afterAutospacing="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Institui, no âmbito da Anvisa, a Comissão Técnica de Crises em Saúde para fins de acompanhar, avaliar e propor ações regulatórias voltadas à atuação da Agência na preparação e durante crises e emergências em saúde e em situações de desabastecimento de produtos sujeitos à vigilância sanitária nos serviços de saúde.</w:t>
      </w:r>
    </w:p>
    <w:p w14:paraId="2B1993F5"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Os Diretores da Agência Nacional de Vigilância Sanitária, no uso de suas atribuições e tendo em vista o disposto no art. 203 III, § 3°, aliado ao art. 171, IV do Regimento Interno aprovado pela Resolução de Diretoria Colegiada - RDC n° 585, de 10 de dezembro de 2021;</w:t>
      </w:r>
    </w:p>
    <w:p w14:paraId="0F4DD528"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considerando as disposições contidas na Lei n.º 6.360, de 23 de setembro de 1976, e no Decreto n.º 8.077, de 14 de agosto de 2013, acerca do sistema de vigilância sanitária a que ficam sujeitos os Medicamentos, as Drogas, os Insumos Farmacêuticos e Correlatos, Cosméticos, Saneantes e Outros Produtos;</w:t>
      </w:r>
    </w:p>
    <w:p w14:paraId="37F70705"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considerando a finalidade institucional da Anvisa de promover a proteção da saúde da população, bem como suas atribuições legais, conforme estabelecido no art. 6º e nos incisos II, III, VII, VIII e IX do art. 7º da Lei n.º 9.782, de 26 de janeiro de 1999;</w:t>
      </w:r>
    </w:p>
    <w:p w14:paraId="1AD51A18"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considerando os direitos e obrigações dos países no tratamento de eventos e emergências de saúde pública que tenham o potencial de cruzar fronteiras, definidos no Regulamento Sanitário Internacional (RSI), de 2005;</w:t>
      </w:r>
    </w:p>
    <w:p w14:paraId="7C56C4EF"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considerando a missão da Anvisa e a necessidade da avaliação célere e eficiente da Agência nas ações regulatórias necessárias à prevenção, tratamento, diagnóstico ou alívio dos sintomas de enfermidades decorrentes de emergências de saúde pública;</w:t>
      </w:r>
    </w:p>
    <w:p w14:paraId="27CE0A33"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considerando a manutenção da situação de Emergência em Saúde Pública de Importância Internacional declarada pela Organização Mundial da Saúde (OMS), em 30 de janeiro de 2020, referente ao surto do novo coronavírus (2019-nCoV);</w:t>
      </w:r>
    </w:p>
    <w:p w14:paraId="266A064B"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 xml:space="preserve">considerando a manutenção da situação de Emergência em Saúde Pública de Importância Internacional declarada pela Organização Mundial da Saúde (OMS), em 22 de julho de 2022, referente à doença </w:t>
      </w:r>
      <w:proofErr w:type="spellStart"/>
      <w:r w:rsidRPr="005F28A8">
        <w:rPr>
          <w:rFonts w:asciiTheme="minorHAnsi" w:hAnsiTheme="minorHAnsi" w:cstheme="minorHAnsi"/>
          <w:color w:val="162937"/>
          <w:sz w:val="22"/>
          <w:szCs w:val="22"/>
        </w:rPr>
        <w:t>Monkeypox</w:t>
      </w:r>
      <w:proofErr w:type="spellEnd"/>
      <w:r w:rsidRPr="005F28A8">
        <w:rPr>
          <w:rFonts w:asciiTheme="minorHAnsi" w:hAnsiTheme="minorHAnsi" w:cstheme="minorHAnsi"/>
          <w:color w:val="162937"/>
          <w:sz w:val="22"/>
          <w:szCs w:val="22"/>
        </w:rPr>
        <w:t>; e</w:t>
      </w:r>
    </w:p>
    <w:p w14:paraId="4C8034D3"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considerando a missão da Anvisa e a necessidade de garantir uma resposta robusta aos problemas de desabastecimento causados por crises ou emergências de saúde pública, assim como por situações de descontinuação temporária ou definitiva de fabricação ou importação de produtos sujeitos à vigilância sanitária nos serviços de saúde, resolvem:</w:t>
      </w:r>
    </w:p>
    <w:p w14:paraId="6D776ABA"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 xml:space="preserve">Art. 1° Instituir, no âmbito da Anvisa, a Comissão Técnica de Crises em Saúde (CTCS) para fins de acompanhar, avaliar e propor ações regulatórias voltadas à atuação da </w:t>
      </w:r>
      <w:r w:rsidRPr="005F28A8">
        <w:rPr>
          <w:rFonts w:asciiTheme="minorHAnsi" w:hAnsiTheme="minorHAnsi" w:cstheme="minorHAnsi"/>
          <w:color w:val="162937"/>
          <w:sz w:val="22"/>
          <w:szCs w:val="22"/>
        </w:rPr>
        <w:lastRenderedPageBreak/>
        <w:t>Agência na preparação e durante crises e emergências em saúde e em situações de desabastecimento de produtos sujeitos à vigilância sanitária nos serviços de saúde.</w:t>
      </w:r>
    </w:p>
    <w:p w14:paraId="194646E0"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Art. 2° Compete à Comissão de que trata o art. 1º:</w:t>
      </w:r>
    </w:p>
    <w:p w14:paraId="3819C908"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 xml:space="preserve">I - Acompanhar o cenário epidemiológico relacionado às Emergências em Saúde Pública de Importância Internacional, inclusive para as emergências vigentes, Covid-19 e </w:t>
      </w:r>
      <w:proofErr w:type="spellStart"/>
      <w:r w:rsidRPr="005F28A8">
        <w:rPr>
          <w:rFonts w:asciiTheme="minorHAnsi" w:hAnsiTheme="minorHAnsi" w:cstheme="minorHAnsi"/>
          <w:color w:val="162937"/>
          <w:sz w:val="22"/>
          <w:szCs w:val="22"/>
        </w:rPr>
        <w:t>Monkeypox</w:t>
      </w:r>
      <w:proofErr w:type="spellEnd"/>
      <w:r w:rsidRPr="005F28A8">
        <w:rPr>
          <w:rFonts w:asciiTheme="minorHAnsi" w:hAnsiTheme="minorHAnsi" w:cstheme="minorHAnsi"/>
          <w:color w:val="162937"/>
          <w:sz w:val="22"/>
          <w:szCs w:val="22"/>
        </w:rPr>
        <w:t>, para subsidiar a proposição de ações regulatórias necessárias ao seu enfrentamento;</w:t>
      </w:r>
    </w:p>
    <w:p w14:paraId="50420096"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II - Propor à Diretoria Colegiada da Anvisa:</w:t>
      </w:r>
    </w:p>
    <w:p w14:paraId="0F1D5BAD"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a) uma política regulatória para gestão, preparação e resposta a crises e emergências em saúde envolvendo produtos sujeitos à vigilância sanitária;</w:t>
      </w:r>
    </w:p>
    <w:p w14:paraId="7452C5E0"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b) ações regulatórias que visem auxiliar no enfrentamento às Emergências em Saúde Pública de Importância Internacional vigentes, conforme status definidos pela OMS;</w:t>
      </w:r>
    </w:p>
    <w:p w14:paraId="267E0DE6"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c) uma política regulatória de enfrentamento ao desabastecimento de produtos sujeitos à vigilância sanitária no âmbito dos serviços de saúde; e</w:t>
      </w:r>
    </w:p>
    <w:p w14:paraId="4CE7FD35"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d) atos normativos relacionados aos temas afetos à Comissão.</w:t>
      </w:r>
    </w:p>
    <w:p w14:paraId="7AE9AD1F"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III - Organizar e realizar reuniões com os entes envolvidos para tratar dos assuntos referentes às ações regulatórias necessárias na preparação e durante crises e emergências em saúde e em situações de desabastecimento de produtos sujeitos à vigilância sanitária nos serviços de saúde, assim como com autoridades reguladoras estrangeiras, organismos internacionais, órgãos e entidades públicas, sociedades médicas e pesquisadores para tratar dos temas afetos à Comissão;</w:t>
      </w:r>
    </w:p>
    <w:p w14:paraId="71A37A6A"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IV - Emitir pareceres e notas técnicas, a fim de subsidiar as ações regulatórias propostas à Diretoria Colegiada no âmbito dos temas afetos à Comissão.</w:t>
      </w:r>
    </w:p>
    <w:p w14:paraId="279C33F6"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Art. 3° A Comissão Técnica de Crises em Saúde será composta por representantes das seguintes Diretorias e unidades organizacionais da Anvisa:</w:t>
      </w:r>
    </w:p>
    <w:p w14:paraId="2E823D29"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 - Segunda Diretoria - DIRE2;</w:t>
      </w:r>
    </w:p>
    <w:p w14:paraId="55710ABC"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II - Terceira Diretoria - DIRE3;</w:t>
      </w:r>
    </w:p>
    <w:p w14:paraId="6CB5BB04"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III - Quarta Diretoria - DIRE4;</w:t>
      </w:r>
    </w:p>
    <w:p w14:paraId="12D477CD"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IV - Gerência de Laboratórios de Saúde Pública - GELAS;</w:t>
      </w:r>
    </w:p>
    <w:p w14:paraId="7C04A3F3"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V - Gerência-Geral de Inspeção e Fiscalização Sanitária - GGFIS;</w:t>
      </w:r>
    </w:p>
    <w:p w14:paraId="59128F1F"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VI - Gerência-Geral de Medicamentos - GGMED;</w:t>
      </w:r>
    </w:p>
    <w:p w14:paraId="38097D31"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 xml:space="preserve">VII - Gerência-Geral de Produtos Biológicos, </w:t>
      </w:r>
      <w:proofErr w:type="spellStart"/>
      <w:r w:rsidRPr="005F28A8">
        <w:rPr>
          <w:rFonts w:asciiTheme="minorHAnsi" w:hAnsiTheme="minorHAnsi" w:cstheme="minorHAnsi"/>
          <w:color w:val="162937"/>
          <w:sz w:val="22"/>
          <w:szCs w:val="22"/>
        </w:rPr>
        <w:t>Radiofármacos</w:t>
      </w:r>
      <w:proofErr w:type="spellEnd"/>
      <w:r w:rsidRPr="005F28A8">
        <w:rPr>
          <w:rFonts w:asciiTheme="minorHAnsi" w:hAnsiTheme="minorHAnsi" w:cstheme="minorHAnsi"/>
          <w:color w:val="162937"/>
          <w:sz w:val="22"/>
          <w:szCs w:val="22"/>
        </w:rPr>
        <w:t>, Sangue, Tecidos, Células, Órgãos e Produtos de Terapias Avançadas - GGBIO;</w:t>
      </w:r>
    </w:p>
    <w:p w14:paraId="5F148DFA"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VIII - Gerência-Geral de Tecnologia em Serviços de Saúde - GGTES;</w:t>
      </w:r>
    </w:p>
    <w:p w14:paraId="32978D1B"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IX - Gerência-Geral de Alimentos - GGALI;</w:t>
      </w:r>
    </w:p>
    <w:p w14:paraId="7B0D241D"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X - Gerência-Geral de Tecnologia de Produtos para Saúde - GGTPS; e</w:t>
      </w:r>
    </w:p>
    <w:p w14:paraId="422F6E89"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XI - Gerência de Produtos de Higiene, Perfumes, Cosméticos e Saneantes - GHCOS.</w:t>
      </w:r>
    </w:p>
    <w:p w14:paraId="30B05D4E"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 1° A Comissão Técnica será coordenada por representante da Terceira Diretoria (DIRE3).</w:t>
      </w:r>
    </w:p>
    <w:p w14:paraId="78F84383"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lastRenderedPageBreak/>
        <w:t>§ 2° A coordenação poderá convidar representantes de outras unidades organizacionais da Anvisa, outros órgãos e entidades, públicas e privadas, além de pesquisadores e especialistas ligados ou não a sociedades científicas ou médicas, quando necessário, para o cumprimento das competências da Comissão, assegurado o interesse público.</w:t>
      </w:r>
    </w:p>
    <w:p w14:paraId="6742F20C"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Art. 4° A Comissão Técnica de Crises em Saúde terá caráter consultivo quanto à proposição de ações regulatórias necessárias à prevenção, tratamento, diagnóstico ou alívio dos sintomas de enfermidades decorrentes de crises e emergências em saúde e à promoção do acesso em casos de desabastecimento de produtos sujeitos à vigilância sanitária nos serviços de saúde.</w:t>
      </w:r>
    </w:p>
    <w:p w14:paraId="0E4CA123"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Art. 5° Compete à coordenação da Comissão Técnica de Crises em Saúde:</w:t>
      </w:r>
    </w:p>
    <w:p w14:paraId="2CCE68F9"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 - Fornecer o apoio administrativo necessário ao desenvolvimento dos trabalhos;</w:t>
      </w:r>
    </w:p>
    <w:p w14:paraId="059DE736"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II - Convocar as reuniões e elaborar as respectivas atas; e</w:t>
      </w:r>
    </w:p>
    <w:p w14:paraId="15BBB26D"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III - Proceder com o envio e destinação dos documentos produzidos pela Comissão.</w:t>
      </w:r>
    </w:p>
    <w:p w14:paraId="5CB8AEBA"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Parágrafo único. As reuniões poderão ser presenciais ou remotas, a critério da Coordenação da Comissão Técnica.</w:t>
      </w:r>
    </w:p>
    <w:p w14:paraId="3413F913"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Art. 6° As funções dos membros da Comissão Técnica de Crises em Saúde não serão remuneradas e seu exercício será considerado de relevante interesse público.</w:t>
      </w:r>
    </w:p>
    <w:p w14:paraId="7D473021" w14:textId="77777777" w:rsidR="005F28A8" w:rsidRPr="005F28A8" w:rsidRDefault="005F28A8" w:rsidP="005F28A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Art. 7° Esta Portaria Conjunta entra em vigor na data de sua publicação.</w:t>
      </w:r>
    </w:p>
    <w:p w14:paraId="2F0E6736" w14:textId="77777777" w:rsidR="005F28A8" w:rsidRPr="005F28A8" w:rsidRDefault="005F28A8" w:rsidP="005F28A8">
      <w:pPr>
        <w:pStyle w:val="assina"/>
        <w:shd w:val="clear" w:color="auto" w:fill="FFFFFF"/>
        <w:spacing w:before="300" w:beforeAutospacing="0" w:after="0" w:afterAutospacing="0"/>
        <w:rPr>
          <w:rFonts w:asciiTheme="minorHAnsi" w:hAnsiTheme="minorHAnsi" w:cstheme="minorHAnsi"/>
          <w:b/>
          <w:bCs/>
          <w:caps/>
          <w:color w:val="162937"/>
          <w:sz w:val="22"/>
          <w:szCs w:val="22"/>
        </w:rPr>
      </w:pPr>
      <w:r w:rsidRPr="005F28A8">
        <w:rPr>
          <w:rFonts w:asciiTheme="minorHAnsi" w:hAnsiTheme="minorHAnsi" w:cstheme="minorHAnsi"/>
          <w:b/>
          <w:bCs/>
          <w:caps/>
          <w:color w:val="162937"/>
          <w:sz w:val="22"/>
          <w:szCs w:val="22"/>
        </w:rPr>
        <w:t>ALEX MACHADO CAMPOS</w:t>
      </w:r>
    </w:p>
    <w:p w14:paraId="569A5AF5" w14:textId="77777777" w:rsidR="005F28A8" w:rsidRPr="005F28A8" w:rsidRDefault="005F28A8" w:rsidP="005F28A8">
      <w:pPr>
        <w:pStyle w:val="dou-paragraph"/>
        <w:shd w:val="clear" w:color="auto" w:fill="FFFFFF"/>
        <w:spacing w:before="0" w:beforeAutospacing="0" w:after="150" w:afterAutospacing="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MEIRUZE DE SOUSA FREITAS</w:t>
      </w:r>
    </w:p>
    <w:p w14:paraId="7AA048C2" w14:textId="77777777" w:rsidR="005F28A8" w:rsidRPr="005F28A8" w:rsidRDefault="005F28A8" w:rsidP="005F28A8">
      <w:pPr>
        <w:pStyle w:val="dou-paragraph"/>
        <w:shd w:val="clear" w:color="auto" w:fill="FFFFFF"/>
        <w:spacing w:before="0" w:beforeAutospacing="0" w:after="150" w:afterAutospacing="0"/>
        <w:jc w:val="both"/>
        <w:rPr>
          <w:rFonts w:asciiTheme="minorHAnsi" w:hAnsiTheme="minorHAnsi" w:cstheme="minorHAnsi"/>
          <w:color w:val="162937"/>
          <w:sz w:val="22"/>
          <w:szCs w:val="22"/>
        </w:rPr>
      </w:pPr>
      <w:r w:rsidRPr="005F28A8">
        <w:rPr>
          <w:rFonts w:asciiTheme="minorHAnsi" w:hAnsiTheme="minorHAnsi" w:cstheme="minorHAnsi"/>
          <w:color w:val="162937"/>
          <w:sz w:val="22"/>
          <w:szCs w:val="22"/>
        </w:rPr>
        <w:t>ROMISON RODRIGUES MOTA</w:t>
      </w:r>
    </w:p>
    <w:p w14:paraId="2A119D50" w14:textId="009EACC7" w:rsidR="005F28A8" w:rsidRDefault="005F28A8"/>
    <w:p w14:paraId="6256EC0A" w14:textId="475F24C7" w:rsidR="005F28A8" w:rsidRDefault="00E56413">
      <w:pPr>
        <w:rPr>
          <w:b/>
          <w:bCs/>
          <w:sz w:val="28"/>
          <w:szCs w:val="28"/>
        </w:rPr>
      </w:pPr>
      <w:r>
        <w:rPr>
          <w:b/>
          <w:bCs/>
          <w:sz w:val="28"/>
          <w:szCs w:val="28"/>
        </w:rPr>
        <w:t>MINISTÉRIO DA ECONOMIA</w:t>
      </w:r>
    </w:p>
    <w:p w14:paraId="519BF4CB" w14:textId="77777777" w:rsidR="00E56413" w:rsidRPr="00E56413" w:rsidRDefault="00E56413" w:rsidP="00E56413">
      <w:pPr>
        <w:pStyle w:val="identifica"/>
        <w:shd w:val="clear" w:color="auto" w:fill="FFFFFF"/>
        <w:spacing w:before="450" w:beforeAutospacing="0" w:after="450" w:afterAutospacing="0"/>
        <w:rPr>
          <w:rFonts w:asciiTheme="minorHAnsi" w:hAnsiTheme="minorHAnsi" w:cstheme="minorHAnsi"/>
          <w:b/>
          <w:bCs/>
          <w:caps/>
          <w:sz w:val="22"/>
          <w:szCs w:val="22"/>
        </w:rPr>
      </w:pPr>
      <w:r w:rsidRPr="00E56413">
        <w:rPr>
          <w:rFonts w:asciiTheme="minorHAnsi" w:hAnsiTheme="minorHAnsi" w:cstheme="minorHAnsi"/>
          <w:b/>
          <w:bCs/>
          <w:caps/>
          <w:sz w:val="22"/>
          <w:szCs w:val="22"/>
        </w:rPr>
        <w:t>PORTARIA /INPI /PR Nº 71, DE 7 DE NOVEMBRO DE 2022</w:t>
      </w:r>
    </w:p>
    <w:p w14:paraId="670AF92B"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O PRESIDENTE e o DIRETOR DE MARCAS, DESENHOS INDUSTRIAIS E INDICAÇÕES GEOGRÁFICAS do INSTITUTO NACIONAL DA PROPRIEDADE INDUSTRIAL, no uso das suas atribuições legais previstas no inciso XII do art. 152 e no inciso XIII do art. 156 do Regimento Interno do INPI aprovado pela Portaria MDIC nº 11, de 27 de janeiro de 2017, CONSIDERANDO o constante dos autos do processo nº 52402.012347/2022-90, resolvem:</w:t>
      </w:r>
    </w:p>
    <w:p w14:paraId="2B05D644"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1º Fica disponibilizado no Sistema Eletrônico de Gestão da Propriedade Industrial, e-INPI, o peticionamento relativo a requerimentos de pedidos de registro de marca de posição, disciplinado pela PORTARIA INPI/PR DE 17 DE JANEIRO DE 2022.</w:t>
      </w:r>
    </w:p>
    <w:p w14:paraId="19F9BAE8"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2º Esta Portaria entra em vigor em 08 de novembro de 2022</w:t>
      </w:r>
    </w:p>
    <w:p w14:paraId="1C8425B5" w14:textId="77777777" w:rsidR="00E56413" w:rsidRPr="00E56413" w:rsidRDefault="00E56413" w:rsidP="00E56413">
      <w:pPr>
        <w:pStyle w:val="assina"/>
        <w:shd w:val="clear" w:color="auto" w:fill="FFFFFF"/>
        <w:spacing w:before="300" w:beforeAutospacing="0" w:after="0" w:afterAutospacing="0"/>
        <w:rPr>
          <w:rFonts w:asciiTheme="minorHAnsi" w:hAnsiTheme="minorHAnsi" w:cstheme="minorHAnsi"/>
          <w:b/>
          <w:bCs/>
          <w:caps/>
          <w:color w:val="162937"/>
          <w:sz w:val="22"/>
          <w:szCs w:val="22"/>
        </w:rPr>
      </w:pPr>
      <w:r w:rsidRPr="00E56413">
        <w:rPr>
          <w:rFonts w:asciiTheme="minorHAnsi" w:hAnsiTheme="minorHAnsi" w:cstheme="minorHAnsi"/>
          <w:b/>
          <w:bCs/>
          <w:caps/>
          <w:color w:val="162937"/>
          <w:sz w:val="22"/>
          <w:szCs w:val="22"/>
        </w:rPr>
        <w:t>CLÁUDIO VILAR FURTADO</w:t>
      </w:r>
    </w:p>
    <w:p w14:paraId="14A758EA" w14:textId="77777777" w:rsidR="00E56413" w:rsidRPr="00E56413" w:rsidRDefault="00E56413" w:rsidP="00E56413">
      <w:pPr>
        <w:pStyle w:val="cargo"/>
        <w:shd w:val="clear" w:color="auto" w:fill="FFFFFF"/>
        <w:spacing w:before="0" w:beforeAutospacing="0" w:after="0" w:afterAutospacing="0"/>
        <w:rPr>
          <w:rFonts w:asciiTheme="minorHAnsi" w:hAnsiTheme="minorHAnsi" w:cstheme="minorHAnsi"/>
          <w:color w:val="162937"/>
          <w:sz w:val="22"/>
          <w:szCs w:val="22"/>
        </w:rPr>
      </w:pPr>
      <w:r w:rsidRPr="00E56413">
        <w:rPr>
          <w:rFonts w:asciiTheme="minorHAnsi" w:hAnsiTheme="minorHAnsi" w:cstheme="minorHAnsi"/>
          <w:color w:val="162937"/>
          <w:sz w:val="22"/>
          <w:szCs w:val="22"/>
        </w:rPr>
        <w:t>Presidente</w:t>
      </w:r>
    </w:p>
    <w:p w14:paraId="730AB969" w14:textId="77777777" w:rsidR="00E56413" w:rsidRPr="00E56413" w:rsidRDefault="00E56413" w:rsidP="00E56413">
      <w:pPr>
        <w:pStyle w:val="assina"/>
        <w:shd w:val="clear" w:color="auto" w:fill="FFFFFF"/>
        <w:spacing w:before="180" w:beforeAutospacing="0" w:after="0" w:afterAutospacing="0"/>
        <w:rPr>
          <w:rFonts w:asciiTheme="minorHAnsi" w:hAnsiTheme="minorHAnsi" w:cstheme="minorHAnsi"/>
          <w:b/>
          <w:bCs/>
          <w:caps/>
          <w:color w:val="162937"/>
          <w:sz w:val="22"/>
          <w:szCs w:val="22"/>
        </w:rPr>
      </w:pPr>
      <w:r w:rsidRPr="00E56413">
        <w:rPr>
          <w:rFonts w:asciiTheme="minorHAnsi" w:hAnsiTheme="minorHAnsi" w:cstheme="minorHAnsi"/>
          <w:b/>
          <w:bCs/>
          <w:caps/>
          <w:color w:val="162937"/>
          <w:sz w:val="22"/>
          <w:szCs w:val="22"/>
        </w:rPr>
        <w:t>FELIPE AUGUSTO MELO DE OLIVEIRA</w:t>
      </w:r>
    </w:p>
    <w:p w14:paraId="7D77D805" w14:textId="1D5C726B" w:rsidR="00E56413" w:rsidRDefault="00E56413" w:rsidP="00E56413">
      <w:pPr>
        <w:pStyle w:val="cargo"/>
        <w:shd w:val="clear" w:color="auto" w:fill="FFFFFF"/>
        <w:spacing w:before="0" w:beforeAutospacing="0" w:after="0" w:afterAutospacing="0"/>
        <w:rPr>
          <w:rFonts w:asciiTheme="minorHAnsi" w:hAnsiTheme="minorHAnsi" w:cstheme="minorHAnsi"/>
          <w:color w:val="162937"/>
          <w:sz w:val="22"/>
          <w:szCs w:val="22"/>
        </w:rPr>
      </w:pPr>
      <w:r w:rsidRPr="00E56413">
        <w:rPr>
          <w:rFonts w:asciiTheme="minorHAnsi" w:hAnsiTheme="minorHAnsi" w:cstheme="minorHAnsi"/>
          <w:color w:val="162937"/>
          <w:sz w:val="22"/>
          <w:szCs w:val="22"/>
        </w:rPr>
        <w:t>Diretor de Marcas, Desenhos Industriais e Indicações Geográficas</w:t>
      </w:r>
    </w:p>
    <w:p w14:paraId="7E9E33AE" w14:textId="16319EFD" w:rsidR="00E56413" w:rsidRDefault="00E56413" w:rsidP="00E56413">
      <w:pPr>
        <w:pStyle w:val="cargo"/>
        <w:shd w:val="clear" w:color="auto" w:fill="FFFFFF"/>
        <w:spacing w:before="0" w:beforeAutospacing="0" w:after="0" w:afterAutospacing="0"/>
        <w:rPr>
          <w:rFonts w:asciiTheme="minorHAnsi" w:hAnsiTheme="minorHAnsi" w:cstheme="minorHAnsi"/>
          <w:color w:val="162937"/>
          <w:sz w:val="22"/>
          <w:szCs w:val="22"/>
        </w:rPr>
      </w:pPr>
    </w:p>
    <w:p w14:paraId="1F37F57A" w14:textId="77777777" w:rsidR="00E56413" w:rsidRPr="00E56413" w:rsidRDefault="00E56413" w:rsidP="00E56413">
      <w:pPr>
        <w:pStyle w:val="identifica"/>
        <w:shd w:val="clear" w:color="auto" w:fill="FFFFFF"/>
        <w:spacing w:before="450" w:beforeAutospacing="0" w:after="450" w:afterAutospacing="0"/>
        <w:rPr>
          <w:rFonts w:asciiTheme="minorHAnsi" w:hAnsiTheme="minorHAnsi" w:cstheme="minorHAnsi"/>
          <w:b/>
          <w:bCs/>
          <w:caps/>
          <w:color w:val="162937"/>
          <w:sz w:val="22"/>
          <w:szCs w:val="22"/>
        </w:rPr>
      </w:pPr>
      <w:r w:rsidRPr="00E56413">
        <w:rPr>
          <w:rFonts w:asciiTheme="minorHAnsi" w:hAnsiTheme="minorHAnsi" w:cstheme="minorHAnsi"/>
          <w:b/>
          <w:bCs/>
          <w:caps/>
          <w:color w:val="162937"/>
          <w:sz w:val="22"/>
          <w:szCs w:val="22"/>
        </w:rPr>
        <w:lastRenderedPageBreak/>
        <w:t>PORTARIA RFB Nº 246, DE 11 DE NOVEMBRO DE 2022</w:t>
      </w:r>
    </w:p>
    <w:p w14:paraId="40D0FA06" w14:textId="77777777" w:rsidR="00E56413" w:rsidRPr="00E56413" w:rsidRDefault="00E56413" w:rsidP="00E56413">
      <w:pPr>
        <w:pStyle w:val="ementa"/>
        <w:shd w:val="clear" w:color="auto" w:fill="FFFFFF"/>
        <w:spacing w:before="0" w:beforeAutospacing="0" w:after="450" w:afterAutospacing="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Institui o Conselho Consultivo sobre Administração Tributária e Aduaneira da União.</w:t>
      </w:r>
    </w:p>
    <w:p w14:paraId="2C149491"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O SECRETÁRIO ESPECIAL DA RECEITA FEDERAL DO BRASIL, no uso da atribuição que lhe confere o inciso III do art. 350 do Regimento Interno da Secretaria Especial da Receita Federal do Brasil, aprovado pela Portaria ME nº 284, de 27 de julho de 2020, resolve:</w:t>
      </w:r>
    </w:p>
    <w:p w14:paraId="2C945718"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1º Fica instituído o Conselho Consultivo sobre Administração Tributária e Aduaneira da União (</w:t>
      </w:r>
      <w:proofErr w:type="spellStart"/>
      <w:r w:rsidRPr="00E56413">
        <w:rPr>
          <w:rFonts w:asciiTheme="minorHAnsi" w:hAnsiTheme="minorHAnsi" w:cstheme="minorHAnsi"/>
          <w:color w:val="162937"/>
          <w:sz w:val="22"/>
          <w:szCs w:val="22"/>
        </w:rPr>
        <w:t>Concat</w:t>
      </w:r>
      <w:proofErr w:type="spellEnd"/>
      <w:r w:rsidRPr="00E56413">
        <w:rPr>
          <w:rFonts w:asciiTheme="minorHAnsi" w:hAnsiTheme="minorHAnsi" w:cstheme="minorHAnsi"/>
          <w:color w:val="162937"/>
          <w:sz w:val="22"/>
          <w:szCs w:val="22"/>
        </w:rPr>
        <w:t>), de caráter permanente, no âmbito da Secretaria Especial da Receita Federal do Brasil (RFB).</w:t>
      </w:r>
    </w:p>
    <w:p w14:paraId="51DDF415"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Parágrafo único. O </w:t>
      </w:r>
      <w:proofErr w:type="spellStart"/>
      <w:r w:rsidRPr="00E56413">
        <w:rPr>
          <w:rFonts w:asciiTheme="minorHAnsi" w:hAnsiTheme="minorHAnsi" w:cstheme="minorHAnsi"/>
          <w:color w:val="162937"/>
          <w:sz w:val="22"/>
          <w:szCs w:val="22"/>
        </w:rPr>
        <w:t>Concat</w:t>
      </w:r>
      <w:proofErr w:type="spellEnd"/>
      <w:r w:rsidRPr="00E56413">
        <w:rPr>
          <w:rFonts w:asciiTheme="minorHAnsi" w:hAnsiTheme="minorHAnsi" w:cstheme="minorHAnsi"/>
          <w:color w:val="162937"/>
          <w:sz w:val="22"/>
          <w:szCs w:val="22"/>
        </w:rPr>
        <w:t xml:space="preserve"> funcionará junto ao Gabinete da RFB.</w:t>
      </w:r>
    </w:p>
    <w:p w14:paraId="4AE9A497"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Art. 2º O </w:t>
      </w:r>
      <w:proofErr w:type="spellStart"/>
      <w:r w:rsidRPr="00E56413">
        <w:rPr>
          <w:rFonts w:asciiTheme="minorHAnsi" w:hAnsiTheme="minorHAnsi" w:cstheme="minorHAnsi"/>
          <w:color w:val="162937"/>
          <w:sz w:val="22"/>
          <w:szCs w:val="22"/>
        </w:rPr>
        <w:t>Concat</w:t>
      </w:r>
      <w:proofErr w:type="spellEnd"/>
      <w:r w:rsidRPr="00E56413">
        <w:rPr>
          <w:rFonts w:asciiTheme="minorHAnsi" w:hAnsiTheme="minorHAnsi" w:cstheme="minorHAnsi"/>
          <w:color w:val="162937"/>
          <w:sz w:val="22"/>
          <w:szCs w:val="22"/>
        </w:rPr>
        <w:t xml:space="preserve"> tem como objetivo opinar sobre matérias pertinentes ao aperfeiçoamento da Administração Tributária e Aduaneira e, quando cabível, propor medidas a elas relativas.</w:t>
      </w:r>
    </w:p>
    <w:p w14:paraId="005C2254"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 1º As atividades do </w:t>
      </w:r>
      <w:proofErr w:type="spellStart"/>
      <w:r w:rsidRPr="00E56413">
        <w:rPr>
          <w:rFonts w:asciiTheme="minorHAnsi" w:hAnsiTheme="minorHAnsi" w:cstheme="minorHAnsi"/>
          <w:color w:val="162937"/>
          <w:sz w:val="22"/>
          <w:szCs w:val="22"/>
        </w:rPr>
        <w:t>Concat</w:t>
      </w:r>
      <w:proofErr w:type="spellEnd"/>
      <w:r w:rsidRPr="00E56413">
        <w:rPr>
          <w:rFonts w:asciiTheme="minorHAnsi" w:hAnsiTheme="minorHAnsi" w:cstheme="minorHAnsi"/>
          <w:color w:val="162937"/>
          <w:sz w:val="22"/>
          <w:szCs w:val="22"/>
        </w:rPr>
        <w:t xml:space="preserve"> abrangem, entre outras, a análise e discussão a respeito dos seguintes temas:</w:t>
      </w:r>
    </w:p>
    <w:p w14:paraId="699DB273"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I - </w:t>
      </w:r>
      <w:proofErr w:type="gramStart"/>
      <w:r w:rsidRPr="00E56413">
        <w:rPr>
          <w:rFonts w:asciiTheme="minorHAnsi" w:hAnsiTheme="minorHAnsi" w:cstheme="minorHAnsi"/>
          <w:color w:val="162937"/>
          <w:sz w:val="22"/>
          <w:szCs w:val="22"/>
        </w:rPr>
        <w:t>promoção</w:t>
      </w:r>
      <w:proofErr w:type="gramEnd"/>
      <w:r w:rsidRPr="00E56413">
        <w:rPr>
          <w:rFonts w:asciiTheme="minorHAnsi" w:hAnsiTheme="minorHAnsi" w:cstheme="minorHAnsi"/>
          <w:color w:val="162937"/>
          <w:sz w:val="22"/>
          <w:szCs w:val="22"/>
        </w:rPr>
        <w:t xml:space="preserve"> de política de conformidade tributária;</w:t>
      </w:r>
    </w:p>
    <w:p w14:paraId="61D3DFFC"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II - </w:t>
      </w:r>
      <w:proofErr w:type="gramStart"/>
      <w:r w:rsidRPr="00E56413">
        <w:rPr>
          <w:rFonts w:asciiTheme="minorHAnsi" w:hAnsiTheme="minorHAnsi" w:cstheme="minorHAnsi"/>
          <w:color w:val="162937"/>
          <w:sz w:val="22"/>
          <w:szCs w:val="22"/>
        </w:rPr>
        <w:t>simplificação e aperfeiçoamento</w:t>
      </w:r>
      <w:proofErr w:type="gramEnd"/>
      <w:r w:rsidRPr="00E56413">
        <w:rPr>
          <w:rFonts w:asciiTheme="minorHAnsi" w:hAnsiTheme="minorHAnsi" w:cstheme="minorHAnsi"/>
          <w:color w:val="162937"/>
          <w:sz w:val="22"/>
          <w:szCs w:val="22"/>
        </w:rPr>
        <w:t xml:space="preserve"> do sistema tributário;</w:t>
      </w:r>
    </w:p>
    <w:p w14:paraId="1844B897"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III - aperfeiçoamento do contencioso administrativo fiscal no âmbito da RFB;</w:t>
      </w:r>
    </w:p>
    <w:p w14:paraId="1F6A3DDE"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IV - </w:t>
      </w:r>
      <w:proofErr w:type="gramStart"/>
      <w:r w:rsidRPr="00E56413">
        <w:rPr>
          <w:rFonts w:asciiTheme="minorHAnsi" w:hAnsiTheme="minorHAnsi" w:cstheme="minorHAnsi"/>
          <w:color w:val="162937"/>
          <w:sz w:val="22"/>
          <w:szCs w:val="22"/>
        </w:rPr>
        <w:t>abrangência</w:t>
      </w:r>
      <w:proofErr w:type="gramEnd"/>
      <w:r w:rsidRPr="00E56413">
        <w:rPr>
          <w:rFonts w:asciiTheme="minorHAnsi" w:hAnsiTheme="minorHAnsi" w:cstheme="minorHAnsi"/>
          <w:color w:val="162937"/>
          <w:sz w:val="22"/>
          <w:szCs w:val="22"/>
        </w:rPr>
        <w:t xml:space="preserve"> das possibilidades de transação tributária; e</w:t>
      </w:r>
    </w:p>
    <w:p w14:paraId="49D42C4A"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V - </w:t>
      </w:r>
      <w:proofErr w:type="gramStart"/>
      <w:r w:rsidRPr="00E56413">
        <w:rPr>
          <w:rFonts w:asciiTheme="minorHAnsi" w:hAnsiTheme="minorHAnsi" w:cstheme="minorHAnsi"/>
          <w:color w:val="162937"/>
          <w:sz w:val="22"/>
          <w:szCs w:val="22"/>
        </w:rPr>
        <w:t>juridicidade</w:t>
      </w:r>
      <w:proofErr w:type="gramEnd"/>
      <w:r w:rsidRPr="00E56413">
        <w:rPr>
          <w:rFonts w:asciiTheme="minorHAnsi" w:hAnsiTheme="minorHAnsi" w:cstheme="minorHAnsi"/>
          <w:color w:val="162937"/>
          <w:sz w:val="22"/>
          <w:szCs w:val="22"/>
        </w:rPr>
        <w:t xml:space="preserve"> de atos administrativos editados pela RFB.</w:t>
      </w:r>
    </w:p>
    <w:p w14:paraId="6BB3E706"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 2º Compete à Diretoria de Programa da RFB a coordenação dos trabalhos do </w:t>
      </w:r>
      <w:proofErr w:type="spellStart"/>
      <w:r w:rsidRPr="00E56413">
        <w:rPr>
          <w:rFonts w:asciiTheme="minorHAnsi" w:hAnsiTheme="minorHAnsi" w:cstheme="minorHAnsi"/>
          <w:color w:val="162937"/>
          <w:sz w:val="22"/>
          <w:szCs w:val="22"/>
        </w:rPr>
        <w:t>Concat</w:t>
      </w:r>
      <w:proofErr w:type="spellEnd"/>
      <w:r w:rsidRPr="00E56413">
        <w:rPr>
          <w:rFonts w:asciiTheme="minorHAnsi" w:hAnsiTheme="minorHAnsi" w:cstheme="minorHAnsi"/>
          <w:color w:val="162937"/>
          <w:sz w:val="22"/>
          <w:szCs w:val="22"/>
        </w:rPr>
        <w:t>.</w:t>
      </w:r>
    </w:p>
    <w:p w14:paraId="6FB2D0B4"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Art. 3º O </w:t>
      </w:r>
      <w:proofErr w:type="spellStart"/>
      <w:r w:rsidRPr="00E56413">
        <w:rPr>
          <w:rFonts w:asciiTheme="minorHAnsi" w:hAnsiTheme="minorHAnsi" w:cstheme="minorHAnsi"/>
          <w:color w:val="162937"/>
          <w:sz w:val="22"/>
          <w:szCs w:val="22"/>
        </w:rPr>
        <w:t>Concat</w:t>
      </w:r>
      <w:proofErr w:type="spellEnd"/>
      <w:r w:rsidRPr="00E56413">
        <w:rPr>
          <w:rFonts w:asciiTheme="minorHAnsi" w:hAnsiTheme="minorHAnsi" w:cstheme="minorHAnsi"/>
          <w:color w:val="162937"/>
          <w:sz w:val="22"/>
          <w:szCs w:val="22"/>
        </w:rPr>
        <w:t xml:space="preserve"> terá a seguinte composição:</w:t>
      </w:r>
    </w:p>
    <w:p w14:paraId="39FD8F97"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I - Secretário Especial da Receita Federal do Brasil, que o presidirá, tendo como suplente o Secretário Especial Adjunto da Receita Federal do Brasil;</w:t>
      </w:r>
    </w:p>
    <w:p w14:paraId="4F7A539E"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II - </w:t>
      </w:r>
      <w:proofErr w:type="gramStart"/>
      <w:r w:rsidRPr="00E56413">
        <w:rPr>
          <w:rFonts w:asciiTheme="minorHAnsi" w:hAnsiTheme="minorHAnsi" w:cstheme="minorHAnsi"/>
          <w:color w:val="162937"/>
          <w:sz w:val="22"/>
          <w:szCs w:val="22"/>
        </w:rPr>
        <w:t>ex-Secretários</w:t>
      </w:r>
      <w:proofErr w:type="gramEnd"/>
      <w:r w:rsidRPr="00E56413">
        <w:rPr>
          <w:rFonts w:asciiTheme="minorHAnsi" w:hAnsiTheme="minorHAnsi" w:cstheme="minorHAnsi"/>
          <w:color w:val="162937"/>
          <w:sz w:val="22"/>
          <w:szCs w:val="22"/>
        </w:rPr>
        <w:t xml:space="preserve"> da RFB, em um total de 5 (cinco) integrantes, mediante convite do Presidente do Conselho, sendo 1 (um) deles endereçado ao da gestão imediatamente anterior;</w:t>
      </w:r>
    </w:p>
    <w:p w14:paraId="22E6C458"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III - advogados e tributaristas com notório conhecimento ou elevada experiência em matéria tributária, em um total de 5 (cinco) integrantes, mediante convite do Presidente do Conselho.</w:t>
      </w:r>
    </w:p>
    <w:p w14:paraId="0A0725AF"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1º Os integrantes de que trata o inciso III do caput terão mandato de 2 (dois) anos, permitida a recondução.</w:t>
      </w:r>
    </w:p>
    <w:p w14:paraId="4F3D6983"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 2º A participação no </w:t>
      </w:r>
      <w:proofErr w:type="spellStart"/>
      <w:r w:rsidRPr="00E56413">
        <w:rPr>
          <w:rFonts w:asciiTheme="minorHAnsi" w:hAnsiTheme="minorHAnsi" w:cstheme="minorHAnsi"/>
          <w:color w:val="162937"/>
          <w:sz w:val="22"/>
          <w:szCs w:val="22"/>
        </w:rPr>
        <w:t>Concat</w:t>
      </w:r>
      <w:proofErr w:type="spellEnd"/>
      <w:r w:rsidRPr="00E56413">
        <w:rPr>
          <w:rFonts w:asciiTheme="minorHAnsi" w:hAnsiTheme="minorHAnsi" w:cstheme="minorHAnsi"/>
          <w:color w:val="162937"/>
          <w:sz w:val="22"/>
          <w:szCs w:val="22"/>
        </w:rPr>
        <w:t xml:space="preserve"> será considerada prestação de serviço público relevante, não remunerada.</w:t>
      </w:r>
    </w:p>
    <w:p w14:paraId="0205B69D"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Art. 4º A convocação para a reunião do </w:t>
      </w:r>
      <w:proofErr w:type="spellStart"/>
      <w:r w:rsidRPr="00E56413">
        <w:rPr>
          <w:rFonts w:asciiTheme="minorHAnsi" w:hAnsiTheme="minorHAnsi" w:cstheme="minorHAnsi"/>
          <w:color w:val="162937"/>
          <w:sz w:val="22"/>
          <w:szCs w:val="22"/>
        </w:rPr>
        <w:t>Concat</w:t>
      </w:r>
      <w:proofErr w:type="spellEnd"/>
      <w:r w:rsidRPr="00E56413">
        <w:rPr>
          <w:rFonts w:asciiTheme="minorHAnsi" w:hAnsiTheme="minorHAnsi" w:cstheme="minorHAnsi"/>
          <w:color w:val="162937"/>
          <w:sz w:val="22"/>
          <w:szCs w:val="22"/>
        </w:rPr>
        <w:t xml:space="preserve"> será acompanhada de pauta temática, que indicará os assuntos a serem sugeridos pelos integrantes do Conselho.</w:t>
      </w:r>
    </w:p>
    <w:p w14:paraId="303B475B"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lastRenderedPageBreak/>
        <w:t xml:space="preserve">§ 1º A convocação de que trata o caput será realizada mediante envio de mensagem eletrônica pela Diretoria de Programa, com aviso de recebimento, com antecedência mínima de 15 </w:t>
      </w:r>
      <w:proofErr w:type="gramStart"/>
      <w:r w:rsidRPr="00E56413">
        <w:rPr>
          <w:rFonts w:asciiTheme="minorHAnsi" w:hAnsiTheme="minorHAnsi" w:cstheme="minorHAnsi"/>
          <w:color w:val="162937"/>
          <w:sz w:val="22"/>
          <w:szCs w:val="22"/>
        </w:rPr>
        <w:t>dias</w:t>
      </w:r>
      <w:proofErr w:type="gramEnd"/>
      <w:r w:rsidRPr="00E56413">
        <w:rPr>
          <w:rFonts w:asciiTheme="minorHAnsi" w:hAnsiTheme="minorHAnsi" w:cstheme="minorHAnsi"/>
          <w:color w:val="162937"/>
          <w:sz w:val="22"/>
          <w:szCs w:val="22"/>
        </w:rPr>
        <w:t xml:space="preserve"> </w:t>
      </w:r>
      <w:proofErr w:type="spellStart"/>
      <w:r w:rsidRPr="00E56413">
        <w:rPr>
          <w:rFonts w:asciiTheme="minorHAnsi" w:hAnsiTheme="minorHAnsi" w:cstheme="minorHAnsi"/>
          <w:color w:val="162937"/>
          <w:sz w:val="22"/>
          <w:szCs w:val="22"/>
        </w:rPr>
        <w:t>dias</w:t>
      </w:r>
      <w:proofErr w:type="spellEnd"/>
      <w:r w:rsidRPr="00E56413">
        <w:rPr>
          <w:rFonts w:asciiTheme="minorHAnsi" w:hAnsiTheme="minorHAnsi" w:cstheme="minorHAnsi"/>
          <w:color w:val="162937"/>
          <w:sz w:val="22"/>
          <w:szCs w:val="22"/>
        </w:rPr>
        <w:t xml:space="preserve"> da reunião.</w:t>
      </w:r>
    </w:p>
    <w:p w14:paraId="6D2D28E1"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 2º As reuniões do </w:t>
      </w:r>
      <w:proofErr w:type="spellStart"/>
      <w:r w:rsidRPr="00E56413">
        <w:rPr>
          <w:rFonts w:asciiTheme="minorHAnsi" w:hAnsiTheme="minorHAnsi" w:cstheme="minorHAnsi"/>
          <w:color w:val="162937"/>
          <w:sz w:val="22"/>
          <w:szCs w:val="22"/>
        </w:rPr>
        <w:t>Concat</w:t>
      </w:r>
      <w:proofErr w:type="spellEnd"/>
      <w:r w:rsidRPr="00E56413">
        <w:rPr>
          <w:rFonts w:asciiTheme="minorHAnsi" w:hAnsiTheme="minorHAnsi" w:cstheme="minorHAnsi"/>
          <w:color w:val="162937"/>
          <w:sz w:val="22"/>
          <w:szCs w:val="22"/>
        </w:rPr>
        <w:t xml:space="preserve"> serão realizadas de forma híbrida.</w:t>
      </w:r>
    </w:p>
    <w:p w14:paraId="788620C4"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5º Fica revogada a Portaria RFB nº 1.508, de 2 de setembro de 2019.</w:t>
      </w:r>
    </w:p>
    <w:p w14:paraId="4CA40819"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6º Esta Portaria entra em vigor no dia 01 de dezembro de 2022 no Diário Oficial da União.</w:t>
      </w:r>
    </w:p>
    <w:p w14:paraId="4BD77B87" w14:textId="77777777" w:rsidR="00E56413" w:rsidRPr="00E56413" w:rsidRDefault="00E56413" w:rsidP="00E56413">
      <w:pPr>
        <w:pStyle w:val="assina"/>
        <w:shd w:val="clear" w:color="auto" w:fill="FFFFFF"/>
        <w:spacing w:before="300" w:beforeAutospacing="0" w:after="0" w:afterAutospacing="0"/>
        <w:rPr>
          <w:rFonts w:asciiTheme="minorHAnsi" w:hAnsiTheme="minorHAnsi" w:cstheme="minorHAnsi"/>
          <w:b/>
          <w:bCs/>
          <w:caps/>
          <w:color w:val="162937"/>
          <w:sz w:val="22"/>
          <w:szCs w:val="22"/>
        </w:rPr>
      </w:pPr>
      <w:r w:rsidRPr="00E56413">
        <w:rPr>
          <w:rFonts w:asciiTheme="minorHAnsi" w:hAnsiTheme="minorHAnsi" w:cstheme="minorHAnsi"/>
          <w:b/>
          <w:bCs/>
          <w:caps/>
          <w:color w:val="162937"/>
          <w:sz w:val="22"/>
          <w:szCs w:val="22"/>
        </w:rPr>
        <w:t>JULIO CESAR VIEIRA GOMES</w:t>
      </w:r>
    </w:p>
    <w:p w14:paraId="08ACFE4B" w14:textId="77777777" w:rsidR="00E56413" w:rsidRPr="00E56413" w:rsidRDefault="00E56413" w:rsidP="00E56413">
      <w:pPr>
        <w:pStyle w:val="cargo"/>
        <w:shd w:val="clear" w:color="auto" w:fill="FFFFFF"/>
        <w:spacing w:before="0" w:beforeAutospacing="0" w:after="0" w:afterAutospacing="0"/>
        <w:rPr>
          <w:rFonts w:asciiTheme="minorHAnsi" w:hAnsiTheme="minorHAnsi" w:cstheme="minorHAnsi"/>
          <w:color w:val="162937"/>
          <w:sz w:val="22"/>
          <w:szCs w:val="22"/>
        </w:rPr>
      </w:pPr>
    </w:p>
    <w:p w14:paraId="2812C0A9" w14:textId="5C36E5AE" w:rsidR="00E56413" w:rsidRDefault="00E56413">
      <w:pPr>
        <w:rPr>
          <w:b/>
          <w:bCs/>
          <w:sz w:val="28"/>
          <w:szCs w:val="28"/>
        </w:rPr>
      </w:pPr>
    </w:p>
    <w:p w14:paraId="41162731" w14:textId="626BD8FE" w:rsidR="00E56413" w:rsidRDefault="00E56413">
      <w:pPr>
        <w:rPr>
          <w:b/>
          <w:bCs/>
          <w:sz w:val="28"/>
          <w:szCs w:val="28"/>
        </w:rPr>
      </w:pPr>
      <w:r>
        <w:rPr>
          <w:b/>
          <w:bCs/>
          <w:sz w:val="28"/>
          <w:szCs w:val="28"/>
        </w:rPr>
        <w:t>MINISTÉRIO DO TRABALHO E PREVIDÊNCIA</w:t>
      </w:r>
    </w:p>
    <w:p w14:paraId="30F08074" w14:textId="77777777" w:rsidR="00E56413" w:rsidRPr="00E56413" w:rsidRDefault="00E56413" w:rsidP="00E56413">
      <w:pPr>
        <w:pStyle w:val="identifica"/>
        <w:shd w:val="clear" w:color="auto" w:fill="FFFFFF"/>
        <w:spacing w:before="450" w:beforeAutospacing="0" w:after="450" w:afterAutospacing="0"/>
        <w:rPr>
          <w:rFonts w:asciiTheme="minorHAnsi" w:hAnsiTheme="minorHAnsi" w:cstheme="minorHAnsi"/>
          <w:b/>
          <w:bCs/>
          <w:caps/>
          <w:sz w:val="22"/>
          <w:szCs w:val="22"/>
        </w:rPr>
      </w:pPr>
      <w:r w:rsidRPr="00E56413">
        <w:rPr>
          <w:rFonts w:asciiTheme="minorHAnsi" w:hAnsiTheme="minorHAnsi" w:cstheme="minorHAnsi"/>
          <w:b/>
          <w:bCs/>
          <w:caps/>
          <w:sz w:val="22"/>
          <w:szCs w:val="22"/>
        </w:rPr>
        <w:t>PORTARIA CONJUNTA DIRBEN/DIROFL/INSS Nº 70, DE 10 DE NOVEMBRO DE 2022</w:t>
      </w:r>
    </w:p>
    <w:p w14:paraId="157CC19A" w14:textId="77777777" w:rsidR="00E56413" w:rsidRPr="00E56413" w:rsidRDefault="00E56413" w:rsidP="00E56413">
      <w:pPr>
        <w:pStyle w:val="ementa"/>
        <w:shd w:val="clear" w:color="auto" w:fill="FFFFFF"/>
        <w:spacing w:before="0" w:beforeAutospacing="0" w:after="450" w:afterAutospacing="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Estabelece os procedimentos necessários para a solicitação e para o pagamento de diárias e despesas com transportes dos requerentes e beneficiários do Benefício de Prestação Continuada - BPC à pessoa com deficiência.</w:t>
      </w:r>
    </w:p>
    <w:p w14:paraId="6E1BF427"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O DIRETOR DE BENEFÍCIOS E RELACIONAMENTO COM O CIDADÃO E A DIRETORA DE ORÇAMENTO, FINANÇAS E LOGÍSTICA DO INSTITUTO NACIONAL DO SEGURO SOCIAL - INSS, no uso da competência que lhe confere o Decreto nº 10.995, de 14 de março de 2022, e tendo em vista o que consta no Processo Administrativo nº 35014.389117/2021-90, resolvem:</w:t>
      </w:r>
    </w:p>
    <w:p w14:paraId="417279BF"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1º Estabelecer os procedimentos necessários para a solicitação e para o pagamento de diárias e despesas com transportes dos requerentes e beneficiários do Benefício de Prestação Continuada - BPC à pessoa com deficiência, nos casos em que é necessário o deslocamento para município próximo ao da realização da avaliação social e médica, por não existir esses serviços em seu município de residência.</w:t>
      </w:r>
    </w:p>
    <w:p w14:paraId="5FB57EB5"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2º O requerimento de pagamento das despesas será realizado pelos canais remotos de atendimento, por meio do serviço "Solicitar Ressarcimento de Despesas com Deslocamento para Avaliações Social e/ou Médica - BPC", código (16435).</w:t>
      </w:r>
    </w:p>
    <w:p w14:paraId="50CADC4A"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Parágrafo único. A solicitação deverá ser realizada após o comparecimento na avaliação social e médica.</w:t>
      </w:r>
    </w:p>
    <w:p w14:paraId="1171EA5D"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3º Ao acompanhante do requerente ou beneficiário do BPC à pessoa com deficiência será assegurado o custeio das despesas previstas no artigo 1</w:t>
      </w:r>
      <w:proofErr w:type="gramStart"/>
      <w:r w:rsidRPr="00E56413">
        <w:rPr>
          <w:rFonts w:asciiTheme="minorHAnsi" w:hAnsiTheme="minorHAnsi" w:cstheme="minorHAnsi"/>
          <w:color w:val="162937"/>
          <w:sz w:val="22"/>
          <w:szCs w:val="22"/>
        </w:rPr>
        <w:t>º ,</w:t>
      </w:r>
      <w:proofErr w:type="gramEnd"/>
      <w:r w:rsidRPr="00E56413">
        <w:rPr>
          <w:rFonts w:asciiTheme="minorHAnsi" w:hAnsiTheme="minorHAnsi" w:cstheme="minorHAnsi"/>
          <w:color w:val="162937"/>
          <w:sz w:val="22"/>
          <w:szCs w:val="22"/>
        </w:rPr>
        <w:t xml:space="preserve"> desde que haja comprovação médica da necessidade no auxílio do deslocamento.</w:t>
      </w:r>
    </w:p>
    <w:p w14:paraId="5A389F57"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§1º A comprovação de que trata o caput será feita por meio de atestado do médico assistente.</w:t>
      </w:r>
    </w:p>
    <w:p w14:paraId="4945B73A"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§2º A necessidade de acompanhante para requerente ou beneficiário menor de 16 (dezesseis) anos de idade é presumida, sendo assegurado o pagamento das respectivas despesas de que trata esta Portaria, independente de atestado médico.</w:t>
      </w:r>
    </w:p>
    <w:p w14:paraId="1293181F"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4º O valor da diária paga é igual ao valor da diária concedida aos beneficiários do Regime Geral da Previdência Social.</w:t>
      </w:r>
    </w:p>
    <w:p w14:paraId="30110DE4"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lastRenderedPageBreak/>
        <w:t>Art. 5º Nos casos em que a avaliação social e a avaliação médica pericial forem agendadas para realização em datas distintas, fica garantido o pagamento das despesas em ambas as datas.</w:t>
      </w:r>
    </w:p>
    <w:p w14:paraId="194EB940"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6º É vedado o ressarcimento de despesas com transporte quando o beneficiário ou requerente possuir carteira de transporte para pessoa com deficiência ou passe livre, sendo dispensado o pagamento da passagem do trecho utilizado.</w:t>
      </w:r>
    </w:p>
    <w:p w14:paraId="7C25826B"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Parágrafo único. A vedação prevista no caput aplica-se também ao acompanhante.</w:t>
      </w:r>
    </w:p>
    <w:p w14:paraId="46094F96"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7º Deverá ser incluído no requerimento de solicitação os seguintes documentos:</w:t>
      </w:r>
    </w:p>
    <w:p w14:paraId="6E3F0C20"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I - </w:t>
      </w:r>
      <w:proofErr w:type="gramStart"/>
      <w:r w:rsidRPr="00E56413">
        <w:rPr>
          <w:rFonts w:asciiTheme="minorHAnsi" w:hAnsiTheme="minorHAnsi" w:cstheme="minorHAnsi"/>
          <w:color w:val="162937"/>
          <w:sz w:val="22"/>
          <w:szCs w:val="22"/>
        </w:rPr>
        <w:t>documento</w:t>
      </w:r>
      <w:proofErr w:type="gramEnd"/>
      <w:r w:rsidRPr="00E56413">
        <w:rPr>
          <w:rFonts w:asciiTheme="minorHAnsi" w:hAnsiTheme="minorHAnsi" w:cstheme="minorHAnsi"/>
          <w:color w:val="162937"/>
          <w:sz w:val="22"/>
          <w:szCs w:val="22"/>
        </w:rPr>
        <w:t xml:space="preserve"> de identificação e comprovante de residência do requerente ou beneficiário;</w:t>
      </w:r>
    </w:p>
    <w:p w14:paraId="03C11147"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II - </w:t>
      </w:r>
      <w:proofErr w:type="gramStart"/>
      <w:r w:rsidRPr="00E56413">
        <w:rPr>
          <w:rFonts w:asciiTheme="minorHAnsi" w:hAnsiTheme="minorHAnsi" w:cstheme="minorHAnsi"/>
          <w:color w:val="162937"/>
          <w:sz w:val="22"/>
          <w:szCs w:val="22"/>
        </w:rPr>
        <w:t>atestado</w:t>
      </w:r>
      <w:proofErr w:type="gramEnd"/>
      <w:r w:rsidRPr="00E56413">
        <w:rPr>
          <w:rFonts w:asciiTheme="minorHAnsi" w:hAnsiTheme="minorHAnsi" w:cstheme="minorHAnsi"/>
          <w:color w:val="162937"/>
          <w:sz w:val="22"/>
          <w:szCs w:val="22"/>
        </w:rPr>
        <w:t xml:space="preserve"> do médico assistente quando o requerente ou beneficiário necessitar de acompanhante;</w:t>
      </w:r>
    </w:p>
    <w:p w14:paraId="20C088C4"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III - documento de identificação e comprovante de residência do acompanhante, se houver; e</w:t>
      </w:r>
    </w:p>
    <w:p w14:paraId="154B94FB"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IV - </w:t>
      </w:r>
      <w:proofErr w:type="gramStart"/>
      <w:r w:rsidRPr="00E56413">
        <w:rPr>
          <w:rFonts w:asciiTheme="minorHAnsi" w:hAnsiTheme="minorHAnsi" w:cstheme="minorHAnsi"/>
          <w:color w:val="162937"/>
          <w:sz w:val="22"/>
          <w:szCs w:val="22"/>
        </w:rPr>
        <w:t>comprovantes</w:t>
      </w:r>
      <w:proofErr w:type="gramEnd"/>
      <w:r w:rsidRPr="00E56413">
        <w:rPr>
          <w:rFonts w:asciiTheme="minorHAnsi" w:hAnsiTheme="minorHAnsi" w:cstheme="minorHAnsi"/>
          <w:color w:val="162937"/>
          <w:sz w:val="22"/>
          <w:szCs w:val="22"/>
        </w:rPr>
        <w:t xml:space="preserve"> das despesas com transporte e diárias, se houver.</w:t>
      </w:r>
    </w:p>
    <w:p w14:paraId="0F9F297E"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§1º O comprovante de despesa com passagem terrestre, quando não for possível por meio de recibo da empresa de transporte, deverá ser declarado e assinado em recibo específico, com o valor da passagem.</w:t>
      </w:r>
    </w:p>
    <w:p w14:paraId="6807851D"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§2º Deverá ser emitida uma exigência caso os documentos necessários à solicitação não tenham sido anexados.</w:t>
      </w:r>
    </w:p>
    <w:p w14:paraId="038A882C"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8º Após a criação da tarefa, o requerimento será transferido automaticamente para o Serviço de Gerenciamento de Benefícios (SGBEN) de vinculação da Agência da Previdência Social (APS) em que foi realizada a avaliação social e médica.</w:t>
      </w:r>
    </w:p>
    <w:p w14:paraId="7496C344"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Parágrafo único. O Serviço de Gerenciamento de Relacionamento com o Cidadão (SGREC) deve configurar o serviço "Solicitar Ressarcimento de Despesas com Deslocamento para Avaliações Social e/ou Médica - BPC" na Unidade Orgânica da SGBEN.</w:t>
      </w:r>
    </w:p>
    <w:p w14:paraId="56CE0C40"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9º O servidor responsável pela análise, após a conferência da documentação que comprova o direito ao ressarcimento da despesa, deverá adotar os procedimentos necessários à emissão do número de Apropriação de Pagamento (AP).</w:t>
      </w:r>
    </w:p>
    <w:p w14:paraId="39B8D987"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 xml:space="preserve">Parágrafo único. O servidor responsável pela análise deverá cadastrar a subtarefa "Emitir apropriação de pagamento - </w:t>
      </w:r>
      <w:proofErr w:type="spellStart"/>
      <w:r w:rsidRPr="00E56413">
        <w:rPr>
          <w:rFonts w:asciiTheme="minorHAnsi" w:hAnsiTheme="minorHAnsi" w:cstheme="minorHAnsi"/>
          <w:color w:val="162937"/>
          <w:sz w:val="22"/>
          <w:szCs w:val="22"/>
        </w:rPr>
        <w:t>OFCweb</w:t>
      </w:r>
      <w:proofErr w:type="spellEnd"/>
      <w:r w:rsidRPr="00E56413">
        <w:rPr>
          <w:rFonts w:asciiTheme="minorHAnsi" w:hAnsiTheme="minorHAnsi" w:cstheme="minorHAnsi"/>
          <w:color w:val="162937"/>
          <w:sz w:val="22"/>
          <w:szCs w:val="22"/>
        </w:rPr>
        <w:t>", código (12865) e transferir para a área competente pela análise da AP e pagamento.</w:t>
      </w:r>
    </w:p>
    <w:p w14:paraId="037DE790"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10. O requerente ou beneficiário receberá o ressarcimento da despesa no banco e na conta indicados por ocasião do requerimento do serviço.</w:t>
      </w:r>
    </w:p>
    <w:p w14:paraId="102938C9"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11. Nova solicitação de pagamento de que trata esta Portaria somente será realizada após decorridos 30 (trinta) dias da data do último requerimento.</w:t>
      </w:r>
    </w:p>
    <w:p w14:paraId="187436B6"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Parágrafo único. Não se aplicará o disposto no caput no caso de solicitação de avaliação social e médica em fase recursal.</w:t>
      </w:r>
    </w:p>
    <w:p w14:paraId="3D63A6BB" w14:textId="77777777" w:rsidR="00E56413" w:rsidRPr="00E56413" w:rsidRDefault="00E56413" w:rsidP="00E56413">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E56413">
        <w:rPr>
          <w:rFonts w:asciiTheme="minorHAnsi" w:hAnsiTheme="minorHAnsi" w:cstheme="minorHAnsi"/>
          <w:color w:val="162937"/>
          <w:sz w:val="22"/>
          <w:szCs w:val="22"/>
        </w:rPr>
        <w:t>Art. 12. Esta portaria entra em vigor no dia 1º de dezembro de 2022.</w:t>
      </w:r>
    </w:p>
    <w:p w14:paraId="330019C5" w14:textId="77777777" w:rsidR="00E56413" w:rsidRPr="00E56413" w:rsidRDefault="00E56413" w:rsidP="00E56413">
      <w:pPr>
        <w:pStyle w:val="assina"/>
        <w:shd w:val="clear" w:color="auto" w:fill="FFFFFF"/>
        <w:spacing w:before="300" w:beforeAutospacing="0" w:after="0" w:afterAutospacing="0"/>
        <w:rPr>
          <w:rFonts w:asciiTheme="minorHAnsi" w:hAnsiTheme="minorHAnsi" w:cstheme="minorHAnsi"/>
          <w:b/>
          <w:bCs/>
          <w:caps/>
          <w:color w:val="162937"/>
          <w:sz w:val="22"/>
          <w:szCs w:val="22"/>
        </w:rPr>
      </w:pPr>
      <w:r w:rsidRPr="00E56413">
        <w:rPr>
          <w:rFonts w:asciiTheme="minorHAnsi" w:hAnsiTheme="minorHAnsi" w:cstheme="minorHAnsi"/>
          <w:b/>
          <w:bCs/>
          <w:caps/>
          <w:color w:val="162937"/>
          <w:sz w:val="22"/>
          <w:szCs w:val="22"/>
        </w:rPr>
        <w:t>EDSON AKIO YAMADA</w:t>
      </w:r>
    </w:p>
    <w:p w14:paraId="25E95922" w14:textId="77777777" w:rsidR="00E56413" w:rsidRPr="00E56413" w:rsidRDefault="00E56413" w:rsidP="00E56413">
      <w:pPr>
        <w:pStyle w:val="cargo"/>
        <w:shd w:val="clear" w:color="auto" w:fill="FFFFFF"/>
        <w:spacing w:before="0" w:beforeAutospacing="0" w:after="0" w:afterAutospacing="0"/>
        <w:rPr>
          <w:rFonts w:asciiTheme="minorHAnsi" w:hAnsiTheme="minorHAnsi" w:cstheme="minorHAnsi"/>
          <w:color w:val="162937"/>
          <w:sz w:val="22"/>
          <w:szCs w:val="22"/>
        </w:rPr>
      </w:pPr>
      <w:r w:rsidRPr="00E56413">
        <w:rPr>
          <w:rFonts w:asciiTheme="minorHAnsi" w:hAnsiTheme="minorHAnsi" w:cstheme="minorHAnsi"/>
          <w:color w:val="162937"/>
          <w:sz w:val="22"/>
          <w:szCs w:val="22"/>
        </w:rPr>
        <w:lastRenderedPageBreak/>
        <w:t>Diretor de Benefícios e Relacionamento com o Cidadão</w:t>
      </w:r>
    </w:p>
    <w:p w14:paraId="040D3A88" w14:textId="77777777" w:rsidR="00E56413" w:rsidRPr="00E56413" w:rsidRDefault="00E56413" w:rsidP="00E56413">
      <w:pPr>
        <w:pStyle w:val="assina"/>
        <w:shd w:val="clear" w:color="auto" w:fill="FFFFFF"/>
        <w:spacing w:before="180" w:beforeAutospacing="0" w:after="0" w:afterAutospacing="0"/>
        <w:rPr>
          <w:rFonts w:asciiTheme="minorHAnsi" w:hAnsiTheme="minorHAnsi" w:cstheme="minorHAnsi"/>
          <w:b/>
          <w:bCs/>
          <w:caps/>
          <w:color w:val="162937"/>
          <w:sz w:val="22"/>
          <w:szCs w:val="22"/>
        </w:rPr>
      </w:pPr>
      <w:r w:rsidRPr="00E56413">
        <w:rPr>
          <w:rFonts w:asciiTheme="minorHAnsi" w:hAnsiTheme="minorHAnsi" w:cstheme="minorHAnsi"/>
          <w:b/>
          <w:bCs/>
          <w:caps/>
          <w:color w:val="162937"/>
          <w:sz w:val="22"/>
          <w:szCs w:val="22"/>
        </w:rPr>
        <w:t>LARISSA ANDRADE MORA</w:t>
      </w:r>
    </w:p>
    <w:p w14:paraId="0A8B2A55" w14:textId="77777777" w:rsidR="00E56413" w:rsidRPr="00E56413" w:rsidRDefault="00E56413" w:rsidP="00E56413">
      <w:pPr>
        <w:pStyle w:val="cargo"/>
        <w:shd w:val="clear" w:color="auto" w:fill="FFFFFF"/>
        <w:spacing w:before="0" w:beforeAutospacing="0" w:after="0" w:afterAutospacing="0"/>
        <w:rPr>
          <w:rFonts w:asciiTheme="minorHAnsi" w:hAnsiTheme="minorHAnsi" w:cstheme="minorHAnsi"/>
          <w:color w:val="162937"/>
          <w:sz w:val="22"/>
          <w:szCs w:val="22"/>
        </w:rPr>
      </w:pPr>
      <w:r w:rsidRPr="00E56413">
        <w:rPr>
          <w:rFonts w:asciiTheme="minorHAnsi" w:hAnsiTheme="minorHAnsi" w:cstheme="minorHAnsi"/>
          <w:color w:val="162937"/>
          <w:sz w:val="22"/>
          <w:szCs w:val="22"/>
        </w:rPr>
        <w:t>Diretora de Orçamento, Finanças e Logística</w:t>
      </w:r>
    </w:p>
    <w:p w14:paraId="5E707452" w14:textId="77777777" w:rsidR="00E56413" w:rsidRPr="00E56413" w:rsidRDefault="00E56413">
      <w:pPr>
        <w:rPr>
          <w:b/>
          <w:bCs/>
          <w:sz w:val="28"/>
          <w:szCs w:val="28"/>
        </w:rPr>
      </w:pPr>
    </w:p>
    <w:sectPr w:rsidR="00E56413" w:rsidRPr="00E564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A8"/>
    <w:rsid w:val="0014477D"/>
    <w:rsid w:val="00556B2C"/>
    <w:rsid w:val="005F28A8"/>
    <w:rsid w:val="00CF6927"/>
    <w:rsid w:val="00E56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5569"/>
  <w15:chartTrackingRefBased/>
  <w15:docId w15:val="{CDBA774A-5635-41B2-ACB4-421A3814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5F28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5F28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5F28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5F28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E5641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01163">
      <w:bodyDiv w:val="1"/>
      <w:marLeft w:val="0"/>
      <w:marRight w:val="0"/>
      <w:marTop w:val="0"/>
      <w:marBottom w:val="0"/>
      <w:divBdr>
        <w:top w:val="none" w:sz="0" w:space="0" w:color="auto"/>
        <w:left w:val="none" w:sz="0" w:space="0" w:color="auto"/>
        <w:bottom w:val="none" w:sz="0" w:space="0" w:color="auto"/>
        <w:right w:val="none" w:sz="0" w:space="0" w:color="auto"/>
      </w:divBdr>
    </w:div>
    <w:div w:id="981890330">
      <w:bodyDiv w:val="1"/>
      <w:marLeft w:val="0"/>
      <w:marRight w:val="0"/>
      <w:marTop w:val="0"/>
      <w:marBottom w:val="0"/>
      <w:divBdr>
        <w:top w:val="none" w:sz="0" w:space="0" w:color="auto"/>
        <w:left w:val="none" w:sz="0" w:space="0" w:color="auto"/>
        <w:bottom w:val="none" w:sz="0" w:space="0" w:color="auto"/>
        <w:right w:val="none" w:sz="0" w:space="0" w:color="auto"/>
      </w:divBdr>
    </w:div>
    <w:div w:id="1338070679">
      <w:bodyDiv w:val="1"/>
      <w:marLeft w:val="0"/>
      <w:marRight w:val="0"/>
      <w:marTop w:val="0"/>
      <w:marBottom w:val="0"/>
      <w:divBdr>
        <w:top w:val="none" w:sz="0" w:space="0" w:color="auto"/>
        <w:left w:val="none" w:sz="0" w:space="0" w:color="auto"/>
        <w:bottom w:val="none" w:sz="0" w:space="0" w:color="auto"/>
        <w:right w:val="none" w:sz="0" w:space="0" w:color="auto"/>
      </w:divBdr>
    </w:div>
    <w:div w:id="14488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2355</Words>
  <Characters>12717</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2022-11-16T14:17:00Z</dcterms:created>
  <dcterms:modified xsi:type="dcterms:W3CDTF">2022-11-16T14:34:00Z</dcterms:modified>
</cp:coreProperties>
</file>